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 w:cs="微软雅黑"/>
          <w:b/>
          <w:bCs/>
          <w:color w:val="000000"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32"/>
          <w:szCs w:val="32"/>
        </w:rPr>
        <w:t>JT-28</w:t>
      </w:r>
      <w:r>
        <w:rPr>
          <w:rFonts w:hint="eastAsia" w:ascii="微软雅黑" w:hAnsi="微软雅黑" w:eastAsia="微软雅黑" w:cs="微软雅黑"/>
          <w:b/>
          <w:bCs/>
          <w:color w:val="000000"/>
          <w:sz w:val="32"/>
          <w:szCs w:val="32"/>
          <w:lang w:val="en-US" w:eastAsia="zh-CN"/>
        </w:rPr>
        <w:t>90</w:t>
      </w:r>
      <w:r>
        <w:rPr>
          <w:rFonts w:hint="eastAsia" w:ascii="微软雅黑" w:hAnsi="微软雅黑" w:eastAsia="微软雅黑" w:cs="微软雅黑"/>
          <w:b/>
          <w:bCs/>
          <w:color w:val="000000"/>
          <w:sz w:val="32"/>
          <w:szCs w:val="32"/>
        </w:rPr>
        <w:t>蓝牙读写器技术规格书V1.0</w:t>
      </w:r>
    </w:p>
    <w:p>
      <w:pPr>
        <w:jc w:val="center"/>
        <w:rPr>
          <w:rFonts w:ascii="微软雅黑" w:hAnsi="微软雅黑" w:eastAsia="微软雅黑" w:cs="微软雅黑"/>
          <w:b/>
          <w:bCs/>
          <w:color w:val="000000"/>
          <w:sz w:val="18"/>
          <w:szCs w:val="18"/>
        </w:rPr>
      </w:pPr>
    </w:p>
    <w:p>
      <w:pPr>
        <w:jc w:val="center"/>
        <w:rPr>
          <w:rFonts w:ascii="微软雅黑" w:hAnsi="微软雅黑" w:eastAsia="微软雅黑" w:cs="微软雅黑"/>
          <w:b/>
          <w:bCs/>
          <w:color w:val="000000"/>
          <w:sz w:val="18"/>
          <w:szCs w:val="18"/>
        </w:rPr>
      </w:pPr>
    </w:p>
    <w:p>
      <w:pPr>
        <w:pStyle w:val="3"/>
        <w:jc w:val="center"/>
        <w:rPr>
          <w:rFonts w:hint="eastAsia" w:hAnsi="宋体" w:eastAsia="宋体" w:cs="宋体"/>
          <w:sz w:val="24"/>
          <w:szCs w:val="24"/>
          <w:lang w:eastAsia="zh-CN"/>
        </w:rPr>
      </w:pPr>
      <w:r>
        <w:rPr>
          <w:rFonts w:hint="eastAsia" w:hAnsi="宋体" w:eastAsia="宋体" w:cs="宋体"/>
          <w:sz w:val="24"/>
          <w:szCs w:val="24"/>
          <w:lang w:eastAsia="zh-CN"/>
        </w:rPr>
        <w:drawing>
          <wp:inline distT="0" distB="0" distL="114300" distR="114300">
            <wp:extent cx="4876800" cy="4448175"/>
            <wp:effectExtent l="0" t="0" r="0" b="9525"/>
            <wp:docPr id="1" name="图片 1" descr="1639450869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39450869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444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jc w:val="center"/>
        <w:rPr>
          <w:rFonts w:hAnsi="宋体" w:cs="宋体"/>
          <w:sz w:val="15"/>
          <w:szCs w:val="15"/>
        </w:rPr>
      </w:pPr>
      <w:bookmarkStart w:id="0" w:name="_GoBack"/>
      <w:bookmarkEnd w:id="0"/>
    </w:p>
    <w:p>
      <w:pPr>
        <w:rPr>
          <w:rFonts w:ascii="PMingLiU" w:hAnsi="PMingLiU" w:eastAsia="宋体" w:cs="Times New Roman"/>
          <w:b/>
          <w:color w:val="0000CC"/>
          <w:sz w:val="28"/>
          <w:szCs w:val="28"/>
        </w:rPr>
      </w:pPr>
      <w:r>
        <w:rPr>
          <w:rFonts w:hint="eastAsia" w:ascii="PMingLiU" w:hAnsi="PMingLiU" w:eastAsia="宋体" w:cs="Times New Roman"/>
          <w:b/>
          <w:color w:val="0000CC"/>
          <w:sz w:val="28"/>
          <w:szCs w:val="28"/>
        </w:rPr>
        <w:t>产品介绍</w:t>
      </w:r>
    </w:p>
    <w:p>
      <w:pPr>
        <w:pStyle w:val="3"/>
        <w:ind w:firstLine="405"/>
        <w:rPr>
          <w:rFonts w:hAnsi="宋体" w:cs="宋体"/>
        </w:rPr>
      </w:pPr>
      <w:r>
        <w:rPr>
          <w:rFonts w:hint="eastAsia" w:ascii="Arial" w:hAnsi="Arial" w:cs="Arial" w:eastAsiaTheme="minorEastAsia"/>
          <w:color w:val="000000"/>
          <w:sz w:val="22"/>
          <w:szCs w:val="22"/>
        </w:rPr>
        <w:t>JT-28</w:t>
      </w:r>
      <w:r>
        <w:rPr>
          <w:rFonts w:hint="eastAsia" w:ascii="Arial" w:hAnsi="Arial" w:cs="Arial" w:eastAsiaTheme="minorEastAsia"/>
          <w:color w:val="000000"/>
          <w:sz w:val="22"/>
          <w:szCs w:val="22"/>
          <w:lang w:val="en-US" w:eastAsia="zh-CN"/>
        </w:rPr>
        <w:t>90</w:t>
      </w:r>
      <w:r>
        <w:rPr>
          <w:rFonts w:hint="eastAsia" w:ascii="Arial" w:hAnsi="Arial" w:cs="Arial" w:eastAsiaTheme="minorEastAsia"/>
          <w:color w:val="000000"/>
          <w:sz w:val="22"/>
          <w:szCs w:val="22"/>
        </w:rPr>
        <w:t>是一款超高频蓝牙便携式读写器。尺寸小巧、读距远，</w:t>
      </w:r>
      <w:r>
        <w:rPr>
          <w:rFonts w:ascii="Arial" w:cs="Arial" w:hAnsiTheme="minorEastAsia" w:eastAsiaTheme="minorEastAsia"/>
          <w:sz w:val="22"/>
          <w:szCs w:val="22"/>
        </w:rPr>
        <w:t>超低功耗</w:t>
      </w:r>
      <w:r>
        <w:rPr>
          <w:rFonts w:hint="eastAsia" w:ascii="Arial" w:cs="Arial" w:hAnsiTheme="minorEastAsia" w:eastAsiaTheme="minorEastAsia"/>
          <w:sz w:val="22"/>
          <w:szCs w:val="22"/>
        </w:rPr>
        <w:t>的</w:t>
      </w:r>
      <w:r>
        <w:rPr>
          <w:rFonts w:ascii="Arial" w:cs="Arial" w:hAnsiTheme="minorEastAsia" w:eastAsiaTheme="minorEastAsia"/>
          <w:sz w:val="22"/>
          <w:szCs w:val="22"/>
        </w:rPr>
        <w:t>读写模块</w:t>
      </w:r>
      <w:r>
        <w:rPr>
          <w:rFonts w:hint="eastAsia" w:ascii="Arial" w:cs="Arial" w:hAnsiTheme="minorEastAsia" w:eastAsiaTheme="minorEastAsia"/>
          <w:sz w:val="22"/>
          <w:szCs w:val="22"/>
        </w:rPr>
        <w:t>（</w:t>
      </w:r>
      <w:r>
        <w:rPr>
          <w:rFonts w:hint="eastAsia" w:ascii="Arial" w:cs="Arial" w:hAnsiTheme="minorEastAsia" w:eastAsiaTheme="minorEastAsia"/>
          <w:bCs/>
          <w:sz w:val="22"/>
          <w:szCs w:val="22"/>
        </w:rPr>
        <w:t>模块与天线二合一</w:t>
      </w:r>
      <w:r>
        <w:rPr>
          <w:rFonts w:hint="eastAsia" w:ascii="Arial" w:cs="Arial" w:hAnsiTheme="minorEastAsia" w:eastAsiaTheme="minorEastAsia"/>
          <w:sz w:val="22"/>
          <w:szCs w:val="22"/>
        </w:rPr>
        <w:t>）</w:t>
      </w:r>
      <w:r>
        <w:rPr>
          <w:rFonts w:ascii="Arial" w:cs="Arial" w:hAnsiTheme="minorEastAsia" w:eastAsiaTheme="minorEastAsia"/>
          <w:color w:val="000000"/>
          <w:sz w:val="22"/>
          <w:szCs w:val="22"/>
        </w:rPr>
        <w:t>。读写模块是一款基于</w:t>
      </w:r>
      <w:r>
        <w:rPr>
          <w:rFonts w:ascii="Arial" w:hAnsi="Arial" w:cs="Arial" w:eastAsiaTheme="minorEastAsia"/>
          <w:color w:val="000000"/>
          <w:sz w:val="22"/>
          <w:szCs w:val="22"/>
        </w:rPr>
        <w:t>MagicRF M100</w:t>
      </w:r>
      <w:r>
        <w:rPr>
          <w:rFonts w:ascii="Arial" w:cs="Arial" w:hAnsiTheme="minorEastAsia" w:eastAsiaTheme="minorEastAsia"/>
          <w:sz w:val="22"/>
          <w:szCs w:val="22"/>
        </w:rPr>
        <w:t>平台研发的体积小、超低功耗</w:t>
      </w:r>
      <w:r>
        <w:rPr>
          <w:rFonts w:hint="eastAsia" w:ascii="Arial" w:cs="Arial" w:hAnsiTheme="minorEastAsia" w:eastAsiaTheme="minorEastAsia"/>
          <w:sz w:val="22"/>
          <w:szCs w:val="22"/>
        </w:rPr>
        <w:t>的</w:t>
      </w:r>
      <w:r>
        <w:rPr>
          <w:rFonts w:ascii="Arial" w:cs="Arial" w:hAnsiTheme="minorEastAsia" w:eastAsiaTheme="minorEastAsia"/>
          <w:sz w:val="22"/>
          <w:szCs w:val="22"/>
        </w:rPr>
        <w:t>读写模块</w:t>
      </w:r>
      <w:r>
        <w:rPr>
          <w:rFonts w:ascii="Arial" w:cs="Arial" w:hAnsiTheme="minorEastAsia" w:eastAsiaTheme="minorEastAsia"/>
          <w:color w:val="000000"/>
          <w:sz w:val="22"/>
          <w:szCs w:val="22"/>
        </w:rPr>
        <w:t>。具有完全的自主知识产权，该读写器默认工作频段为</w:t>
      </w:r>
      <w:r>
        <w:rPr>
          <w:rFonts w:ascii="Arial" w:hAnsi="Arial" w:cs="Arial" w:eastAsiaTheme="minorEastAsia"/>
          <w:color w:val="000000"/>
          <w:sz w:val="22"/>
          <w:szCs w:val="22"/>
        </w:rPr>
        <w:t>902</w:t>
      </w:r>
      <w:r>
        <w:rPr>
          <w:rFonts w:ascii="Arial" w:hAnsi="Arial" w:cs="Arial" w:eastAsiaTheme="minorEastAsia"/>
          <w:sz w:val="22"/>
          <w:szCs w:val="22"/>
        </w:rPr>
        <w:t>MHz</w:t>
      </w:r>
      <w:r>
        <w:rPr>
          <w:rFonts w:ascii="Arial" w:cs="Arial" w:hAnsiTheme="minorEastAsia" w:eastAsiaTheme="minorEastAsia"/>
          <w:color w:val="000000"/>
          <w:sz w:val="22"/>
          <w:szCs w:val="22"/>
        </w:rPr>
        <w:t>～</w:t>
      </w:r>
      <w:r>
        <w:rPr>
          <w:rFonts w:ascii="Arial" w:hAnsi="Arial" w:cs="Arial" w:eastAsiaTheme="minorEastAsia"/>
          <w:color w:val="000000"/>
          <w:sz w:val="22"/>
          <w:szCs w:val="22"/>
        </w:rPr>
        <w:t>928MHz</w:t>
      </w:r>
      <w:r>
        <w:rPr>
          <w:rFonts w:ascii="Arial" w:cs="Arial" w:hAnsiTheme="minorEastAsia" w:eastAsiaTheme="minorEastAsia"/>
          <w:color w:val="000000"/>
          <w:sz w:val="22"/>
          <w:szCs w:val="22"/>
        </w:rPr>
        <w:t>，支持</w:t>
      </w:r>
      <w:r>
        <w:rPr>
          <w:rFonts w:ascii="Arial" w:hAnsi="Arial" w:cs="Arial" w:eastAsiaTheme="minorEastAsia"/>
          <w:color w:val="000000"/>
          <w:sz w:val="22"/>
          <w:szCs w:val="22"/>
        </w:rPr>
        <w:t>ISO18000-6C</w:t>
      </w:r>
      <w:r>
        <w:rPr>
          <w:rFonts w:ascii="Arial" w:cs="Arial" w:hAnsiTheme="minorEastAsia" w:eastAsiaTheme="minorEastAsia"/>
          <w:color w:val="000000"/>
          <w:sz w:val="22"/>
          <w:szCs w:val="22"/>
        </w:rPr>
        <w:t>（</w:t>
      </w:r>
      <w:r>
        <w:rPr>
          <w:rFonts w:ascii="Arial" w:hAnsi="Arial" w:cs="Arial" w:eastAsiaTheme="minorEastAsia"/>
          <w:color w:val="000000"/>
          <w:sz w:val="22"/>
          <w:szCs w:val="22"/>
        </w:rPr>
        <w:t>EPC C1 GEN2</w:t>
      </w:r>
      <w:r>
        <w:rPr>
          <w:rFonts w:ascii="Arial" w:cs="Arial" w:hAnsiTheme="minorEastAsia" w:eastAsiaTheme="minorEastAsia"/>
          <w:color w:val="000000"/>
          <w:sz w:val="22"/>
          <w:szCs w:val="22"/>
        </w:rPr>
        <w:t>）协议。</w:t>
      </w:r>
      <w:r>
        <w:rPr>
          <w:rFonts w:ascii="Arial" w:cs="Arial" w:hAnsiTheme="minorEastAsia" w:eastAsiaTheme="minorEastAsia"/>
          <w:sz w:val="22"/>
          <w:szCs w:val="22"/>
        </w:rPr>
        <w:t>可方便地嵌入平板电脑、</w:t>
      </w:r>
      <w:r>
        <w:rPr>
          <w:rFonts w:ascii="Arial" w:hAnsi="Arial" w:cs="Arial" w:eastAsiaTheme="minorEastAsia"/>
          <w:sz w:val="22"/>
          <w:szCs w:val="22"/>
        </w:rPr>
        <w:t>PDA</w:t>
      </w:r>
      <w:r>
        <w:rPr>
          <w:rFonts w:ascii="Arial" w:cs="Arial" w:hAnsiTheme="minorEastAsia" w:eastAsiaTheme="minorEastAsia"/>
          <w:sz w:val="22"/>
          <w:szCs w:val="22"/>
        </w:rPr>
        <w:t>等手持终端，实现这类设备的</w:t>
      </w:r>
      <w:r>
        <w:rPr>
          <w:rFonts w:ascii="Arial" w:hAnsi="Arial" w:cs="Arial" w:eastAsiaTheme="minorEastAsia"/>
          <w:sz w:val="22"/>
          <w:szCs w:val="22"/>
        </w:rPr>
        <w:t>RFID</w:t>
      </w:r>
      <w:r>
        <w:rPr>
          <w:rFonts w:ascii="Arial" w:cs="Arial" w:hAnsiTheme="minorEastAsia" w:eastAsiaTheme="minorEastAsia"/>
          <w:sz w:val="22"/>
          <w:szCs w:val="22"/>
        </w:rPr>
        <w:t>扩张功能，并广泛应用于物流管理、产品质检、人员管理等其他领域</w:t>
      </w:r>
      <w:r>
        <w:rPr>
          <w:rFonts w:hint="eastAsia" w:hAnsi="宋体" w:cs="宋体"/>
          <w:sz w:val="24"/>
          <w:szCs w:val="24"/>
        </w:rPr>
        <w:t>。</w:t>
      </w:r>
    </w:p>
    <w:p>
      <w:pPr>
        <w:jc w:val="left"/>
        <w:rPr>
          <w:rFonts w:ascii="Arial" w:hAnsi="宋体" w:eastAsia="宋体" w:cs="Arial"/>
          <w:color w:val="000000"/>
          <w:sz w:val="22"/>
        </w:rPr>
      </w:pPr>
    </w:p>
    <w:p>
      <w:pPr>
        <w:jc w:val="left"/>
        <w:rPr>
          <w:rFonts w:ascii="PMingLiU" w:hAnsi="PMingLiU" w:eastAsia="宋体" w:cs="Times New Roman"/>
          <w:b/>
          <w:color w:val="0000CC"/>
          <w:sz w:val="28"/>
          <w:szCs w:val="28"/>
        </w:rPr>
      </w:pPr>
      <w:r>
        <w:rPr>
          <w:rFonts w:hint="eastAsia" w:ascii="PMingLiU" w:hAnsi="PMingLiU" w:eastAsia="宋体" w:cs="Times New Roman"/>
          <w:b/>
          <w:color w:val="0000CC"/>
          <w:sz w:val="28"/>
          <w:szCs w:val="28"/>
        </w:rPr>
        <w:t>产品特点</w:t>
      </w:r>
    </w:p>
    <w:p>
      <w:pPr>
        <w:jc w:val="left"/>
        <w:rPr>
          <w:rFonts w:ascii="Arial" w:hAnsi="Arial" w:eastAsia="宋体" w:cs="Arial"/>
          <w:color w:val="000000"/>
          <w:kern w:val="0"/>
          <w:sz w:val="22"/>
        </w:rPr>
      </w:pPr>
      <w:r>
        <w:rPr>
          <w:rFonts w:hint="eastAsia" w:ascii="Arial" w:hAnsi="宋体" w:eastAsia="宋体" w:cs="Arial"/>
          <w:color w:val="000000"/>
          <w:kern w:val="0"/>
          <w:sz w:val="22"/>
        </w:rPr>
        <w:t xml:space="preserve">☆ </w:t>
      </w:r>
      <w:r>
        <w:rPr>
          <w:rFonts w:ascii="Arial" w:hAnsi="宋体" w:eastAsia="宋体" w:cs="Arial"/>
          <w:color w:val="000000"/>
          <w:kern w:val="0"/>
          <w:sz w:val="22"/>
        </w:rPr>
        <w:t>专利设计</w:t>
      </w:r>
      <w:r>
        <w:rPr>
          <w:rFonts w:ascii="Arial" w:hAnsi="Arial" w:eastAsia="宋体" w:cs="Arial"/>
          <w:color w:val="000000"/>
          <w:kern w:val="0"/>
          <w:sz w:val="22"/>
        </w:rPr>
        <w:t>,</w:t>
      </w:r>
      <w:r>
        <w:rPr>
          <w:rFonts w:ascii="Arial" w:hAnsi="宋体" w:eastAsia="宋体" w:cs="Arial"/>
          <w:color w:val="000000"/>
          <w:kern w:val="0"/>
          <w:sz w:val="22"/>
        </w:rPr>
        <w:t>自主知识产权</w:t>
      </w:r>
    </w:p>
    <w:p>
      <w:pPr>
        <w:autoSpaceDE w:val="0"/>
        <w:autoSpaceDN w:val="0"/>
        <w:adjustRightInd w:val="0"/>
        <w:jc w:val="left"/>
        <w:rPr>
          <w:rFonts w:ascii="Arial" w:hAnsi="宋体" w:eastAsia="宋体" w:cs="Arial"/>
          <w:color w:val="000000"/>
          <w:kern w:val="0"/>
          <w:sz w:val="22"/>
        </w:rPr>
      </w:pPr>
      <w:r>
        <w:rPr>
          <w:rFonts w:hint="eastAsia" w:ascii="Arial" w:hAnsi="宋体" w:eastAsia="宋体" w:cs="Arial"/>
          <w:color w:val="000000"/>
          <w:kern w:val="0"/>
          <w:sz w:val="22"/>
        </w:rPr>
        <w:t>☆ 灵敏度-10dBm本地阻塞情况下-65dBm，测试误报率为1%</w:t>
      </w:r>
    </w:p>
    <w:p>
      <w:pPr>
        <w:autoSpaceDE w:val="0"/>
        <w:autoSpaceDN w:val="0"/>
        <w:adjustRightInd w:val="0"/>
        <w:jc w:val="left"/>
        <w:rPr>
          <w:rFonts w:ascii="Arial" w:hAnsi="Arial" w:eastAsia="宋体" w:cs="Arial"/>
          <w:color w:val="000000"/>
          <w:kern w:val="0"/>
          <w:sz w:val="22"/>
        </w:rPr>
      </w:pPr>
      <w:r>
        <w:rPr>
          <w:rFonts w:hint="eastAsia" w:ascii="Arial" w:hAnsi="宋体" w:eastAsia="宋体" w:cs="Arial"/>
          <w:color w:val="000000"/>
          <w:kern w:val="0"/>
          <w:sz w:val="22"/>
        </w:rPr>
        <w:t xml:space="preserve">☆ </w:t>
      </w:r>
      <w:r>
        <w:rPr>
          <w:rFonts w:ascii="Arial" w:hAnsi="宋体" w:eastAsia="宋体" w:cs="Arial"/>
          <w:color w:val="000000"/>
          <w:kern w:val="0"/>
          <w:sz w:val="22"/>
        </w:rPr>
        <w:t>基于</w:t>
      </w:r>
      <w:r>
        <w:rPr>
          <w:rFonts w:hint="eastAsia" w:ascii="Arial" w:hAnsi="宋体" w:eastAsia="宋体" w:cs="Arial"/>
          <w:color w:val="000000"/>
          <w:sz w:val="22"/>
        </w:rPr>
        <w:t>MagicRF M100</w:t>
      </w:r>
      <w:r>
        <w:rPr>
          <w:rFonts w:ascii="Arial" w:hAnsi="宋体" w:eastAsia="宋体" w:cs="Arial"/>
          <w:color w:val="000000"/>
          <w:kern w:val="0"/>
          <w:sz w:val="22"/>
        </w:rPr>
        <w:t>平台研发</w:t>
      </w:r>
    </w:p>
    <w:p>
      <w:pPr>
        <w:autoSpaceDE w:val="0"/>
        <w:autoSpaceDN w:val="0"/>
        <w:adjustRightInd w:val="0"/>
        <w:jc w:val="left"/>
        <w:rPr>
          <w:rFonts w:ascii="Arial" w:hAnsi="宋体" w:eastAsia="宋体" w:cs="Arial"/>
          <w:color w:val="000000"/>
          <w:kern w:val="0"/>
          <w:sz w:val="22"/>
        </w:rPr>
      </w:pPr>
      <w:r>
        <w:rPr>
          <w:rFonts w:hint="eastAsia" w:ascii="Arial" w:hAnsi="宋体" w:eastAsia="宋体" w:cs="Arial"/>
          <w:color w:val="000000"/>
          <w:kern w:val="0"/>
          <w:sz w:val="22"/>
        </w:rPr>
        <w:t xml:space="preserve">☆ </w:t>
      </w:r>
      <w:r>
        <w:rPr>
          <w:rFonts w:ascii="Arial" w:hAnsi="宋体" w:eastAsia="宋体" w:cs="Arial"/>
          <w:color w:val="000000"/>
          <w:kern w:val="0"/>
          <w:sz w:val="22"/>
        </w:rPr>
        <w:t>支持</w:t>
      </w:r>
      <w:r>
        <w:rPr>
          <w:rFonts w:hint="eastAsia" w:ascii="Arial" w:hAnsi="宋体" w:eastAsia="宋体" w:cs="Arial"/>
          <w:color w:val="000000"/>
          <w:kern w:val="0"/>
          <w:sz w:val="22"/>
        </w:rPr>
        <w:t>LBT and FHSS调频模式</w:t>
      </w:r>
    </w:p>
    <w:p>
      <w:pPr>
        <w:autoSpaceDE w:val="0"/>
        <w:autoSpaceDN w:val="0"/>
        <w:adjustRightInd w:val="0"/>
        <w:jc w:val="left"/>
        <w:rPr>
          <w:rFonts w:ascii="Arial" w:hAnsi="宋体" w:eastAsia="宋体" w:cs="Arial"/>
          <w:color w:val="000000"/>
          <w:kern w:val="0"/>
          <w:sz w:val="22"/>
        </w:rPr>
      </w:pPr>
      <w:r>
        <w:rPr>
          <w:rFonts w:hint="eastAsia" w:ascii="Arial" w:hAnsi="宋体" w:eastAsia="宋体" w:cs="Arial"/>
          <w:color w:val="000000"/>
          <w:kern w:val="0"/>
          <w:sz w:val="22"/>
        </w:rPr>
        <w:t>☆ 可与安卓4.0以上的手机、平板通过蓝牙实现通讯。</w:t>
      </w:r>
    </w:p>
    <w:p>
      <w:pPr>
        <w:autoSpaceDE w:val="0"/>
        <w:autoSpaceDN w:val="0"/>
        <w:adjustRightInd w:val="0"/>
        <w:jc w:val="left"/>
        <w:rPr>
          <w:rFonts w:ascii="Arial" w:hAnsi="宋体" w:eastAsia="宋体" w:cs="Arial"/>
          <w:color w:val="000000"/>
          <w:kern w:val="0"/>
          <w:sz w:val="22"/>
        </w:rPr>
      </w:pPr>
      <w:r>
        <w:rPr>
          <w:rFonts w:hint="eastAsia" w:ascii="Arial" w:hAnsi="宋体" w:eastAsia="宋体" w:cs="Arial"/>
          <w:color w:val="000000"/>
          <w:kern w:val="0"/>
          <w:sz w:val="22"/>
        </w:rPr>
        <w:t>☆ 读卡距离远，可达2.0-2.5米。</w:t>
      </w:r>
    </w:p>
    <w:p>
      <w:pPr>
        <w:jc w:val="left"/>
        <w:rPr>
          <w:rFonts w:ascii="Arial" w:hAnsi="宋体" w:eastAsia="宋体" w:cs="Arial"/>
          <w:color w:val="000000"/>
          <w:kern w:val="0"/>
          <w:sz w:val="22"/>
        </w:rPr>
      </w:pPr>
      <w:r>
        <w:rPr>
          <w:rFonts w:hint="eastAsia" w:ascii="Arial" w:hAnsi="宋体" w:eastAsia="宋体" w:cs="Arial"/>
          <w:color w:val="000000"/>
          <w:kern w:val="0"/>
          <w:sz w:val="22"/>
        </w:rPr>
        <w:t>☆ 1500mAh 聚合物电池设计，待机20h ,可连续识读3h。</w:t>
      </w:r>
    </w:p>
    <w:p>
      <w:pPr>
        <w:jc w:val="left"/>
        <w:rPr>
          <w:rFonts w:ascii="Arial" w:hAnsi="宋体" w:eastAsia="宋体" w:cs="Arial"/>
          <w:color w:val="000000"/>
          <w:kern w:val="0"/>
          <w:sz w:val="22"/>
        </w:rPr>
      </w:pPr>
      <w:r>
        <w:rPr>
          <w:rFonts w:hint="eastAsia" w:ascii="Arial" w:hAnsi="宋体" w:eastAsia="宋体" w:cs="Arial"/>
          <w:color w:val="000000"/>
          <w:kern w:val="0"/>
          <w:sz w:val="22"/>
        </w:rPr>
        <w:t>☆ 防滑设计，内置磁铁紧贴手机背壳。</w:t>
      </w:r>
    </w:p>
    <w:p>
      <w:pPr>
        <w:jc w:val="left"/>
        <w:rPr>
          <w:rFonts w:ascii="Arial" w:hAnsi="宋体" w:eastAsia="宋体" w:cs="Arial"/>
          <w:color w:val="000000"/>
          <w:kern w:val="0"/>
          <w:sz w:val="22"/>
        </w:rPr>
      </w:pPr>
      <w:r>
        <w:rPr>
          <w:rFonts w:hint="eastAsia" w:ascii="Arial" w:hAnsi="宋体" w:eastAsia="宋体" w:cs="Arial"/>
          <w:color w:val="000000"/>
          <w:kern w:val="0"/>
          <w:sz w:val="22"/>
        </w:rPr>
        <w:t>☆ 导光条设计，红绿2钟LED 信号指示灯。</w:t>
      </w:r>
    </w:p>
    <w:p>
      <w:pPr>
        <w:jc w:val="left"/>
        <w:rPr>
          <w:rFonts w:ascii="Arial" w:hAnsi="宋体" w:eastAsia="宋体" w:cs="Arial"/>
          <w:color w:val="000000"/>
          <w:kern w:val="0"/>
          <w:sz w:val="22"/>
        </w:rPr>
      </w:pPr>
      <w:r>
        <w:rPr>
          <w:rFonts w:hint="eastAsia" w:ascii="Arial" w:hAnsi="宋体" w:eastAsia="宋体" w:cs="Arial"/>
          <w:color w:val="000000"/>
          <w:kern w:val="0"/>
          <w:sz w:val="22"/>
        </w:rPr>
        <w:t>☆ 方便操作的开关机键和一键式读卡设计。</w:t>
      </w:r>
    </w:p>
    <w:p>
      <w:pPr>
        <w:jc w:val="left"/>
        <w:rPr>
          <w:rFonts w:ascii="PMingLiU" w:hAnsi="PMingLiU" w:eastAsia="宋体" w:cs="Times New Roman"/>
          <w:b/>
          <w:color w:val="0000CC"/>
          <w:sz w:val="28"/>
          <w:szCs w:val="28"/>
        </w:rPr>
      </w:pPr>
      <w:r>
        <w:rPr>
          <w:rFonts w:hint="eastAsia" w:ascii="PMingLiU" w:hAnsi="PMingLiU" w:eastAsia="宋体" w:cs="Times New Roman"/>
          <w:b/>
          <w:color w:val="0000CC"/>
          <w:sz w:val="28"/>
          <w:szCs w:val="28"/>
        </w:rPr>
        <w:t xml:space="preserve">性能参数 </w:t>
      </w:r>
    </w:p>
    <w:tbl>
      <w:tblPr>
        <w:tblStyle w:val="10"/>
        <w:tblW w:w="9464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  <w:gridCol w:w="694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464" w:type="dxa"/>
            <w:gridSpan w:val="2"/>
            <w:shd w:val="clear" w:color="auto" w:fill="C6D9F0" w:themeFill="text2" w:themeFillTint="33"/>
            <w:vAlign w:val="center"/>
          </w:tcPr>
          <w:p>
            <w:pPr>
              <w:ind w:firstLine="663" w:firstLineChars="300"/>
              <w:jc w:val="left"/>
              <w:rPr>
                <w:rFonts w:ascii="Arial" w:hAnsi="Arial" w:cs="Arial"/>
                <w:b/>
                <w:sz w:val="22"/>
              </w:rPr>
            </w:pPr>
            <w:r>
              <w:rPr>
                <w:rFonts w:hint="eastAsia" w:ascii="Arial" w:cs="Arial" w:hAnsiTheme="minorEastAsia"/>
                <w:b/>
                <w:color w:val="000000"/>
                <w:kern w:val="0"/>
                <w:sz w:val="22"/>
              </w:rPr>
              <w:t>技术</w:t>
            </w:r>
            <w:r>
              <w:rPr>
                <w:rFonts w:ascii="Arial" w:cs="Arial" w:hAnsiTheme="minorEastAsia"/>
                <w:b/>
                <w:color w:val="000000"/>
                <w:kern w:val="0"/>
                <w:sz w:val="22"/>
              </w:rPr>
              <w:t>参数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2518" w:type="dxa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hint="eastAsia" w:ascii="Arial" w:hAnsi="Arial" w:cs="Arial"/>
                <w:sz w:val="22"/>
              </w:rPr>
              <w:t>工作频率</w:t>
            </w:r>
          </w:p>
        </w:tc>
        <w:tc>
          <w:tcPr>
            <w:tcW w:w="6946" w:type="dxa"/>
            <w:vAlign w:val="center"/>
          </w:tcPr>
          <w:p>
            <w:pPr>
              <w:jc w:val="left"/>
              <w:rPr>
                <w:rFonts w:ascii="Arial" w:hAnsi="Arial" w:cs="Arial"/>
                <w:sz w:val="22"/>
              </w:rPr>
            </w:pPr>
            <w:r>
              <w:rPr>
                <w:rFonts w:hint="eastAsia" w:ascii="Arial" w:hAnsi="Arial" w:cs="Arial"/>
                <w:sz w:val="22"/>
              </w:rPr>
              <w:t>902~928MHz； 865~868 MHz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2518" w:type="dxa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hint="eastAsia" w:ascii="Arial" w:hAnsi="Arial" w:cs="Arial"/>
                <w:sz w:val="22"/>
              </w:rPr>
              <w:t>支持协议</w:t>
            </w:r>
          </w:p>
        </w:tc>
        <w:tc>
          <w:tcPr>
            <w:tcW w:w="6946" w:type="dxa"/>
            <w:vAlign w:val="center"/>
          </w:tcPr>
          <w:p>
            <w:pPr>
              <w:jc w:val="left"/>
              <w:rPr>
                <w:rFonts w:ascii="Arial" w:hAnsi="Arial" w:cs="Arial"/>
                <w:sz w:val="22"/>
              </w:rPr>
            </w:pPr>
            <w:r>
              <w:rPr>
                <w:rFonts w:hint="eastAsia" w:ascii="Arial" w:hAnsi="Arial" w:cs="Arial"/>
                <w:sz w:val="22"/>
              </w:rPr>
              <w:t>EPC C1 Gen2 ISO18000-6C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2518" w:type="dxa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hint="eastAsia" w:ascii="Arial" w:hAnsi="Arial" w:cs="Arial"/>
                <w:sz w:val="22"/>
              </w:rPr>
              <w:t>射频功率</w:t>
            </w:r>
          </w:p>
        </w:tc>
        <w:tc>
          <w:tcPr>
            <w:tcW w:w="6946" w:type="dxa"/>
            <w:vAlign w:val="center"/>
          </w:tcPr>
          <w:p>
            <w:pPr>
              <w:jc w:val="left"/>
              <w:rPr>
                <w:rFonts w:ascii="Arial" w:hAnsi="Arial" w:cs="Arial"/>
                <w:sz w:val="22"/>
              </w:rPr>
            </w:pPr>
            <w:r>
              <w:rPr>
                <w:rFonts w:hint="eastAsia" w:ascii="Arial" w:hAnsi="Arial" w:cs="Arial"/>
                <w:sz w:val="22"/>
              </w:rPr>
              <w:t>0~26dBm（软件可调）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2518" w:type="dxa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hint="eastAsia" w:ascii="Arial" w:hAnsi="Arial" w:cs="Arial"/>
                <w:sz w:val="22"/>
              </w:rPr>
              <w:t>读取距离</w:t>
            </w:r>
          </w:p>
        </w:tc>
        <w:tc>
          <w:tcPr>
            <w:tcW w:w="6946" w:type="dxa"/>
            <w:vAlign w:val="center"/>
          </w:tcPr>
          <w:p>
            <w:pPr>
              <w:jc w:val="left"/>
              <w:rPr>
                <w:rFonts w:ascii="Arial" w:hAnsi="Arial" w:cs="Arial"/>
                <w:sz w:val="22"/>
              </w:rPr>
            </w:pPr>
            <w:r>
              <w:rPr>
                <w:rFonts w:hint="eastAsia" w:ascii="Arial" w:hAnsi="Arial" w:cs="Arial"/>
                <w:sz w:val="22"/>
              </w:rPr>
              <w:t>0~2.5m （960白卡测试）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2518" w:type="dxa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hint="eastAsia" w:ascii="Arial" w:hAnsi="Arial" w:cs="Arial"/>
                <w:sz w:val="22"/>
              </w:rPr>
              <w:t>读取速率</w:t>
            </w:r>
          </w:p>
        </w:tc>
        <w:tc>
          <w:tcPr>
            <w:tcW w:w="6946" w:type="dxa"/>
            <w:vAlign w:val="center"/>
          </w:tcPr>
          <w:p>
            <w:pPr>
              <w:jc w:val="left"/>
              <w:rPr>
                <w:rFonts w:ascii="Arial" w:hAnsi="Arial" w:cs="Arial"/>
                <w:sz w:val="22"/>
              </w:rPr>
            </w:pPr>
            <w:r>
              <w:rPr>
                <w:rFonts w:hint="eastAsia" w:cs="Arial" w:asciiTheme="minorEastAsia" w:hAnsiTheme="minorEastAsia"/>
                <w:sz w:val="20"/>
                <w:szCs w:val="20"/>
              </w:rPr>
              <w:t>＞</w:t>
            </w:r>
            <w:r>
              <w:rPr>
                <w:rFonts w:hint="eastAsia" w:ascii="Arial" w:hAnsi="Arial" w:cs="Arial"/>
                <w:sz w:val="22"/>
              </w:rPr>
              <w:t>300次/秒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  <w:jc w:val="center"/>
        </w:trPr>
        <w:tc>
          <w:tcPr>
            <w:tcW w:w="2518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Arial" w:hAnsi="Arial" w:cs="Arial"/>
                <w:sz w:val="22"/>
              </w:rPr>
            </w:pPr>
            <w:r>
              <w:rPr>
                <w:rFonts w:hint="eastAsia" w:ascii="Arial" w:hAnsi="Arial" w:cs="Arial"/>
                <w:sz w:val="22"/>
              </w:rPr>
              <w:t xml:space="preserve">      天线类型</w:t>
            </w:r>
          </w:p>
        </w:tc>
        <w:tc>
          <w:tcPr>
            <w:tcW w:w="6946" w:type="dxa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Arial" w:hAnsi="Arial" w:cs="Arial"/>
                <w:sz w:val="22"/>
              </w:rPr>
            </w:pPr>
            <w:r>
              <w:rPr>
                <w:rFonts w:hint="eastAsia" w:ascii="Arial" w:hAnsi="Arial" w:cs="Arial"/>
                <w:sz w:val="22"/>
              </w:rPr>
              <w:t>内置2dBi 陶瓷天线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25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firstLine="660" w:firstLineChars="300"/>
              <w:rPr>
                <w:rFonts w:ascii="Arial" w:hAnsi="Arial" w:cs="Arial"/>
                <w:sz w:val="22"/>
              </w:rPr>
            </w:pPr>
            <w:r>
              <w:rPr>
                <w:rFonts w:hint="eastAsia" w:ascii="Arial" w:hAnsi="Arial" w:cs="Arial"/>
                <w:sz w:val="22"/>
              </w:rPr>
              <w:t>工作模式</w:t>
            </w:r>
          </w:p>
        </w:tc>
        <w:tc>
          <w:tcPr>
            <w:tcW w:w="694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Arial" w:hAnsi="Arial" w:cs="Arial"/>
                <w:sz w:val="22"/>
              </w:rPr>
            </w:pPr>
            <w:r>
              <w:rPr>
                <w:rFonts w:hint="eastAsia" w:ascii="Arial" w:hAnsi="Arial" w:cs="Arial"/>
                <w:sz w:val="22"/>
              </w:rPr>
              <w:t>定频 / 跳频可选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" w:hRule="atLeast"/>
          <w:jc w:val="center"/>
        </w:trPr>
        <w:tc>
          <w:tcPr>
            <w:tcW w:w="25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firstLine="660" w:firstLineChars="300"/>
              <w:rPr>
                <w:rFonts w:ascii="Arial" w:hAnsi="Arial" w:cs="Arial"/>
                <w:sz w:val="22"/>
              </w:rPr>
            </w:pPr>
            <w:r>
              <w:rPr>
                <w:rFonts w:hint="eastAsia" w:ascii="Arial" w:hAnsi="Arial" w:cs="Arial"/>
                <w:sz w:val="22"/>
              </w:rPr>
              <w:t>通讯接口</w:t>
            </w:r>
          </w:p>
        </w:tc>
        <w:tc>
          <w:tcPr>
            <w:tcW w:w="694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Arial" w:hAnsi="Arial" w:cs="Arial"/>
                <w:sz w:val="22"/>
              </w:rPr>
            </w:pPr>
            <w:r>
              <w:rPr>
                <w:rFonts w:hint="eastAsia" w:ascii="Arial" w:hAnsi="Arial" w:cs="Arial"/>
                <w:sz w:val="22"/>
              </w:rPr>
              <w:t>BT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" w:hRule="atLeast"/>
          <w:jc w:val="center"/>
        </w:trPr>
        <w:tc>
          <w:tcPr>
            <w:tcW w:w="2518" w:type="dxa"/>
            <w:tcBorders>
              <w:top w:val="single" w:color="auto" w:sz="4" w:space="0"/>
            </w:tcBorders>
            <w:vAlign w:val="center"/>
          </w:tcPr>
          <w:p>
            <w:pPr>
              <w:ind w:firstLine="660" w:firstLineChars="300"/>
              <w:rPr>
                <w:rFonts w:ascii="Arial" w:hAnsi="Arial" w:cs="Arial"/>
                <w:sz w:val="22"/>
              </w:rPr>
            </w:pPr>
            <w:r>
              <w:rPr>
                <w:rFonts w:hint="eastAsia" w:ascii="Arial" w:hAnsi="Arial" w:cs="Arial"/>
                <w:sz w:val="22"/>
              </w:rPr>
              <w:t>功能按键</w:t>
            </w:r>
          </w:p>
        </w:tc>
        <w:tc>
          <w:tcPr>
            <w:tcW w:w="6946" w:type="dxa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ascii="Arial" w:hAnsi="Arial" w:cs="Arial"/>
                <w:sz w:val="22"/>
              </w:rPr>
            </w:pPr>
            <w:r>
              <w:rPr>
                <w:rFonts w:hint="eastAsia" w:ascii="Arial" w:hAnsi="Arial" w:cs="Arial"/>
                <w:sz w:val="22"/>
              </w:rPr>
              <w:t>电源开关、读卡按键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  <w:jc w:val="center"/>
        </w:trPr>
        <w:tc>
          <w:tcPr>
            <w:tcW w:w="25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hint="eastAsia" w:ascii="Arial" w:hAnsi="Arial" w:cs="Arial"/>
                <w:sz w:val="22"/>
              </w:rPr>
              <w:t>天线检测</w:t>
            </w:r>
          </w:p>
        </w:tc>
        <w:tc>
          <w:tcPr>
            <w:tcW w:w="6946" w:type="dxa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Arial" w:hAnsi="Arial" w:cs="Arial"/>
                <w:sz w:val="22"/>
              </w:rPr>
            </w:pPr>
            <w:r>
              <w:rPr>
                <w:rFonts w:hint="eastAsia" w:ascii="Arial" w:hAnsi="Arial" w:cs="Arial"/>
                <w:sz w:val="22"/>
              </w:rPr>
              <w:t>支持RSSI数值检测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25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hint="eastAsia" w:ascii="Arial" w:hAnsi="Arial" w:cs="Arial"/>
                <w:sz w:val="22"/>
              </w:rPr>
              <w:t>信号指示</w:t>
            </w:r>
          </w:p>
        </w:tc>
        <w:tc>
          <w:tcPr>
            <w:tcW w:w="694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Arial" w:hAnsi="Arial" w:cs="Arial"/>
                <w:sz w:val="22"/>
              </w:rPr>
            </w:pPr>
            <w:r>
              <w:rPr>
                <w:rFonts w:hint="eastAsia" w:ascii="Arial" w:hAnsi="Arial" w:cs="Arial"/>
                <w:sz w:val="22"/>
              </w:rPr>
              <w:t>充电指示（红灯闪烁，充满后常亮）</w:t>
            </w:r>
          </w:p>
          <w:p>
            <w:pPr>
              <w:jc w:val="left"/>
              <w:rPr>
                <w:rFonts w:ascii="Arial" w:hAnsi="Arial" w:cs="Arial"/>
                <w:sz w:val="22"/>
              </w:rPr>
            </w:pPr>
            <w:r>
              <w:rPr>
                <w:rFonts w:hint="eastAsia" w:ascii="Arial" w:hAnsi="Arial" w:cs="Arial"/>
                <w:sz w:val="22"/>
              </w:rPr>
              <w:t>读卡指示（绿灯闪烁）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  <w:jc w:val="center"/>
        </w:trPr>
        <w:tc>
          <w:tcPr>
            <w:tcW w:w="25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hint="eastAsia" w:ascii="Arial" w:hAnsi="Arial" w:cs="Arial"/>
                <w:sz w:val="22"/>
              </w:rPr>
              <w:t>充电接口</w:t>
            </w:r>
          </w:p>
        </w:tc>
        <w:tc>
          <w:tcPr>
            <w:tcW w:w="6946" w:type="dxa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ascii="Arial" w:hAnsi="Arial" w:cs="Arial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Micro-USB 5pin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464" w:type="dxa"/>
            <w:gridSpan w:val="2"/>
            <w:shd w:val="clear" w:color="auto" w:fill="C6D9F0" w:themeFill="text2" w:themeFillTint="33"/>
            <w:vAlign w:val="center"/>
          </w:tcPr>
          <w:p>
            <w:pPr>
              <w:ind w:firstLine="663" w:firstLineChars="300"/>
              <w:jc w:val="left"/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cs="Arial" w:hAnsiTheme="minorEastAsia"/>
                <w:b/>
                <w:color w:val="000000"/>
                <w:kern w:val="0"/>
                <w:sz w:val="22"/>
              </w:rPr>
              <w:t>电源</w:t>
            </w:r>
            <w:r>
              <w:rPr>
                <w:rFonts w:hint="eastAsia" w:ascii="Arial" w:cs="Arial" w:hAnsiTheme="minorEastAsia"/>
                <w:b/>
                <w:color w:val="000000"/>
                <w:kern w:val="0"/>
                <w:sz w:val="22"/>
              </w:rPr>
              <w:t>参数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2518" w:type="dxa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hint="eastAsia" w:ascii="Arial" w:hAnsi="Arial" w:cs="Arial"/>
                <w:sz w:val="22"/>
              </w:rPr>
              <w:t>电池容量</w:t>
            </w:r>
          </w:p>
        </w:tc>
        <w:tc>
          <w:tcPr>
            <w:tcW w:w="6946" w:type="dxa"/>
            <w:vAlign w:val="center"/>
          </w:tcPr>
          <w:p>
            <w:pPr>
              <w:jc w:val="left"/>
              <w:rPr>
                <w:rFonts w:ascii="Arial" w:hAnsi="Arial" w:cs="Arial"/>
                <w:sz w:val="22"/>
              </w:rPr>
            </w:pPr>
            <w:r>
              <w:rPr>
                <w:rFonts w:hint="eastAsia" w:ascii="Arial" w:hAnsi="Arial" w:cs="Arial"/>
                <w:sz w:val="22"/>
              </w:rPr>
              <w:t>3.7V 1500mAh 聚合物电池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2518" w:type="dxa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hint="eastAsia" w:ascii="Arial" w:hAnsi="Arial" w:cs="Arial"/>
                <w:sz w:val="22"/>
              </w:rPr>
              <w:t>工作功耗</w:t>
            </w:r>
          </w:p>
        </w:tc>
        <w:tc>
          <w:tcPr>
            <w:tcW w:w="6946" w:type="dxa"/>
            <w:vAlign w:val="center"/>
          </w:tcPr>
          <w:p>
            <w:pPr>
              <w:jc w:val="left"/>
              <w:rPr>
                <w:rFonts w:ascii="Arial" w:hAnsi="Arial" w:cs="Arial"/>
                <w:sz w:val="22"/>
              </w:rPr>
            </w:pPr>
            <w:r>
              <w:rPr>
                <w:rFonts w:hint="eastAsia" w:ascii="Arial" w:hAnsi="Arial" w:cs="Arial"/>
                <w:sz w:val="22"/>
              </w:rPr>
              <w:t>2W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464" w:type="dxa"/>
            <w:gridSpan w:val="2"/>
            <w:tcBorders>
              <w:bottom w:val="single" w:color="auto" w:sz="4" w:space="0"/>
            </w:tcBorders>
            <w:shd w:val="clear" w:color="auto" w:fill="C6D9F0" w:themeFill="text2" w:themeFillTint="33"/>
            <w:vAlign w:val="center"/>
          </w:tcPr>
          <w:p>
            <w:pPr>
              <w:ind w:firstLine="663" w:firstLineChars="300"/>
              <w:jc w:val="left"/>
              <w:rPr>
                <w:rFonts w:ascii="Arial" w:hAnsi="Arial" w:cs="Arial"/>
                <w:b/>
                <w:sz w:val="22"/>
              </w:rPr>
            </w:pPr>
            <w:r>
              <w:rPr>
                <w:rFonts w:hint="eastAsia" w:ascii="Arial" w:hAnsi="Arial" w:cs="Arial"/>
                <w:b/>
                <w:sz w:val="22"/>
              </w:rPr>
              <w:t>环境参数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25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cs="Arial" w:hAnsiTheme="minorEastAsia"/>
                <w:sz w:val="22"/>
              </w:rPr>
              <w:t>工作温度</w:t>
            </w:r>
          </w:p>
        </w:tc>
        <w:tc>
          <w:tcPr>
            <w:tcW w:w="6946" w:type="dxa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-20</w:t>
            </w:r>
            <w:r>
              <w:rPr>
                <w:rFonts w:cs="Arial" w:asciiTheme="minorEastAsia" w:hAnsiTheme="minorEastAsia"/>
                <w:color w:val="000000"/>
                <w:sz w:val="22"/>
              </w:rPr>
              <w:t>℃</w:t>
            </w:r>
            <w:r>
              <w:rPr>
                <w:rFonts w:ascii="Arial" w:cs="Arial" w:hAnsiTheme="minorEastAsia"/>
                <w:sz w:val="22"/>
              </w:rPr>
              <w:t>～</w:t>
            </w:r>
            <w:r>
              <w:rPr>
                <w:rFonts w:ascii="Arial" w:hAnsi="Arial" w:cs="Arial"/>
                <w:sz w:val="22"/>
              </w:rPr>
              <w:t>55</w:t>
            </w:r>
            <w:r>
              <w:rPr>
                <w:rFonts w:cs="Arial" w:asciiTheme="minorEastAsia" w:hAnsiTheme="minorEastAsia"/>
                <w:color w:val="000000"/>
                <w:sz w:val="22"/>
              </w:rPr>
              <w:t>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2518" w:type="dxa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cs="Arial" w:hAnsiTheme="minorEastAsia"/>
                <w:sz w:val="22"/>
              </w:rPr>
              <w:t>存储温度</w:t>
            </w:r>
          </w:p>
        </w:tc>
        <w:tc>
          <w:tcPr>
            <w:tcW w:w="6946" w:type="dxa"/>
            <w:vAlign w:val="center"/>
          </w:tcPr>
          <w:p>
            <w:pPr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-30</w:t>
            </w:r>
            <w:r>
              <w:rPr>
                <w:rFonts w:cs="Arial" w:asciiTheme="minorEastAsia" w:hAnsiTheme="minorEastAsia"/>
                <w:color w:val="000000"/>
                <w:sz w:val="22"/>
              </w:rPr>
              <w:t>℃</w:t>
            </w:r>
            <w:r>
              <w:rPr>
                <w:rFonts w:ascii="Arial" w:cs="Arial" w:hAnsiTheme="minorEastAsia"/>
                <w:sz w:val="22"/>
              </w:rPr>
              <w:t>～</w:t>
            </w:r>
            <w:r>
              <w:rPr>
                <w:rFonts w:ascii="Arial" w:hAnsi="Arial" w:cs="Arial"/>
                <w:sz w:val="22"/>
              </w:rPr>
              <w:t>80</w:t>
            </w:r>
            <w:r>
              <w:rPr>
                <w:rFonts w:cs="Arial" w:asciiTheme="minorEastAsia" w:hAnsiTheme="minorEastAsia"/>
                <w:color w:val="000000"/>
                <w:sz w:val="22"/>
              </w:rPr>
              <w:t>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9464" w:type="dxa"/>
            <w:gridSpan w:val="2"/>
            <w:shd w:val="clear" w:color="auto" w:fill="8DB3E2" w:themeFill="text2" w:themeFillTint="66"/>
            <w:vAlign w:val="center"/>
          </w:tcPr>
          <w:p>
            <w:pPr>
              <w:ind w:firstLine="663" w:firstLineChars="300"/>
              <w:jc w:val="left"/>
              <w:rPr>
                <w:rFonts w:ascii="Arial" w:cs="Arial" w:hAnsiTheme="minorEastAsia"/>
                <w:color w:val="4F81BD" w:themeColor="accent1"/>
                <w:sz w:val="22"/>
              </w:rPr>
            </w:pPr>
            <w:r>
              <w:rPr>
                <w:rFonts w:hint="eastAsia" w:ascii="Arial" w:cs="Arial" w:hAnsiTheme="minorEastAsia"/>
                <w:b/>
                <w:bCs/>
                <w:sz w:val="22"/>
              </w:rPr>
              <w:t>产品包装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2518" w:type="dxa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hint="eastAsia" w:ascii="Arial" w:hAnsi="Arial" w:cs="Arial"/>
                <w:sz w:val="22"/>
              </w:rPr>
              <w:t>包装尺寸</w:t>
            </w:r>
          </w:p>
        </w:tc>
        <w:tc>
          <w:tcPr>
            <w:tcW w:w="6946" w:type="dxa"/>
            <w:vAlign w:val="center"/>
          </w:tcPr>
          <w:p>
            <w:pPr>
              <w:jc w:val="left"/>
              <w:rPr>
                <w:rFonts w:ascii="Arial" w:hAnsi="Arial" w:cs="Arial"/>
                <w:sz w:val="2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2518" w:type="dxa"/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hint="eastAsia" w:ascii="Arial" w:hAnsi="Arial" w:cs="Arial"/>
                <w:sz w:val="22"/>
              </w:rPr>
              <w:t>相关配件</w:t>
            </w:r>
          </w:p>
        </w:tc>
        <w:tc>
          <w:tcPr>
            <w:tcW w:w="6946" w:type="dxa"/>
            <w:vAlign w:val="center"/>
          </w:tcPr>
          <w:p>
            <w:pPr>
              <w:jc w:val="left"/>
              <w:rPr>
                <w:rFonts w:ascii="Arial" w:hAnsi="Arial" w:cs="Arial"/>
                <w:sz w:val="22"/>
              </w:rPr>
            </w:pPr>
            <w:r>
              <w:rPr>
                <w:rFonts w:hint="eastAsia" w:ascii="Arial" w:hAnsi="Arial" w:cs="Arial"/>
                <w:sz w:val="22"/>
              </w:rPr>
              <w:t>数据线1条</w:t>
            </w:r>
          </w:p>
          <w:p>
            <w:pPr>
              <w:jc w:val="left"/>
              <w:rPr>
                <w:rFonts w:ascii="Arial" w:hAnsi="Arial" w:cs="Arial"/>
                <w:sz w:val="22"/>
              </w:rPr>
            </w:pPr>
            <w:r>
              <w:rPr>
                <w:rFonts w:hint="eastAsia" w:ascii="Arial" w:hAnsi="Arial" w:cs="Arial"/>
                <w:sz w:val="22"/>
              </w:rPr>
              <w:t>充电头5V 2A 1个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946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hint="eastAsia" w:ascii="Arial" w:hAnsi="Arial" w:cs="Arial"/>
                <w:b/>
                <w:bCs/>
                <w:sz w:val="32"/>
                <w:szCs w:val="32"/>
              </w:rPr>
              <w:t>典型应用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  <w:jc w:val="center"/>
        </w:trPr>
        <w:tc>
          <w:tcPr>
            <w:tcW w:w="9464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jc w:val="left"/>
              <w:rPr>
                <w:rFonts w:ascii="Arial" w:hAnsi="Arial" w:cs="Arial"/>
                <w:sz w:val="22"/>
              </w:rPr>
            </w:pPr>
            <w:r>
              <w:rPr>
                <w:rFonts w:hint="eastAsia" w:ascii="Arial" w:hAnsi="Arial" w:cs="Arial"/>
                <w:sz w:val="22"/>
              </w:rPr>
              <w:t>固定资产盘点与追踪系统</w:t>
            </w:r>
          </w:p>
          <w:p>
            <w:pPr>
              <w:ind w:left="220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hint="eastAsia" w:ascii="Arial" w:hAnsi="Arial" w:cs="Arial"/>
                <w:sz w:val="22"/>
              </w:rPr>
              <w:t xml:space="preserve">   主要针对贴有RFID 标签的固定资产快速远距离盘点，并可对盘点资产进行领用，移动，维修，保养，归还，报废等登记，将资产信息统计并生成报表。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ascii="Arial" w:hAnsi="Arial" w:cs="Arial"/>
                <w:sz w:val="22"/>
              </w:rPr>
            </w:pPr>
            <w:r>
              <w:rPr>
                <w:rFonts w:hint="eastAsia" w:ascii="Arial" w:hAnsi="Arial" w:cs="Arial"/>
                <w:sz w:val="22"/>
              </w:rPr>
              <w:t>物资出入库及盘点系统</w:t>
            </w:r>
          </w:p>
          <w:p>
            <w:pPr>
              <w:ind w:left="220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hint="eastAsia" w:ascii="Arial" w:hAnsi="Arial" w:cs="Arial"/>
                <w:sz w:val="22"/>
              </w:rPr>
              <w:t xml:space="preserve">  主要针对安装RFID 标签的托盘或物资，自动识别进出仓库的时间、数量、品种等，生成进出货数据报表，对于未授权的出货信息系统给予报警提示，通过RFID手持机对库存物资进行远距离快速盘点。</w:t>
            </w:r>
          </w:p>
        </w:tc>
      </w:tr>
    </w:tbl>
    <w:p>
      <w:pPr>
        <w:jc w:val="left"/>
        <w:rPr>
          <w:rFonts w:ascii="PMingLiU" w:hAnsi="PMingLiU" w:eastAsia="宋体" w:cs="Times New Roman"/>
          <w:b/>
          <w:color w:val="0000CC"/>
          <w:sz w:val="28"/>
          <w:szCs w:val="28"/>
        </w:rPr>
      </w:pPr>
    </w:p>
    <w:p>
      <w:pPr>
        <w:pStyle w:val="3"/>
        <w:jc w:val="center"/>
        <w:rPr>
          <w:rFonts w:hAnsi="宋体" w:cs="宋体"/>
        </w:rPr>
      </w:pPr>
    </w:p>
    <w:sectPr>
      <w:pgSz w:w="11906" w:h="16838"/>
      <w:pgMar w:top="1440" w:right="1753" w:bottom="1440" w:left="175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5981D0"/>
    <w:multiLevelType w:val="singleLevel"/>
    <w:tmpl w:val="5A5981D0"/>
    <w:lvl w:ilvl="0" w:tentative="0">
      <w:start w:val="1"/>
      <w:numFmt w:val="decimal"/>
      <w:suff w:val="space"/>
      <w:lvlText w:val="%1."/>
      <w:lvlJc w:val="left"/>
      <w:pPr>
        <w:ind w:left="22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87CC5"/>
    <w:rsid w:val="00005F0C"/>
    <w:rsid w:val="000362D7"/>
    <w:rsid w:val="00044C64"/>
    <w:rsid w:val="000660DB"/>
    <w:rsid w:val="000A50F5"/>
    <w:rsid w:val="000C0048"/>
    <w:rsid w:val="001309AD"/>
    <w:rsid w:val="00170EF2"/>
    <w:rsid w:val="00174F44"/>
    <w:rsid w:val="0018068D"/>
    <w:rsid w:val="001C66BE"/>
    <w:rsid w:val="0021301B"/>
    <w:rsid w:val="00234DC6"/>
    <w:rsid w:val="00251D36"/>
    <w:rsid w:val="00286E66"/>
    <w:rsid w:val="002A7782"/>
    <w:rsid w:val="002C4F39"/>
    <w:rsid w:val="00331A9B"/>
    <w:rsid w:val="00336080"/>
    <w:rsid w:val="003459C5"/>
    <w:rsid w:val="003475D0"/>
    <w:rsid w:val="003B7415"/>
    <w:rsid w:val="003E3811"/>
    <w:rsid w:val="00401295"/>
    <w:rsid w:val="00454017"/>
    <w:rsid w:val="00485058"/>
    <w:rsid w:val="004A7715"/>
    <w:rsid w:val="004C4170"/>
    <w:rsid w:val="004F5A8B"/>
    <w:rsid w:val="00523B21"/>
    <w:rsid w:val="00570385"/>
    <w:rsid w:val="00575F89"/>
    <w:rsid w:val="005B6AEB"/>
    <w:rsid w:val="005C4454"/>
    <w:rsid w:val="005D6CB3"/>
    <w:rsid w:val="0060255E"/>
    <w:rsid w:val="00616B49"/>
    <w:rsid w:val="00643683"/>
    <w:rsid w:val="0065137D"/>
    <w:rsid w:val="00692ADC"/>
    <w:rsid w:val="00696BFE"/>
    <w:rsid w:val="006C392B"/>
    <w:rsid w:val="006D7C7E"/>
    <w:rsid w:val="007052BA"/>
    <w:rsid w:val="00715568"/>
    <w:rsid w:val="00715F79"/>
    <w:rsid w:val="0071735A"/>
    <w:rsid w:val="00717970"/>
    <w:rsid w:val="00736E56"/>
    <w:rsid w:val="00767B92"/>
    <w:rsid w:val="00782281"/>
    <w:rsid w:val="007A4582"/>
    <w:rsid w:val="007E7BD4"/>
    <w:rsid w:val="007F1B4C"/>
    <w:rsid w:val="00817181"/>
    <w:rsid w:val="008244A6"/>
    <w:rsid w:val="008366C7"/>
    <w:rsid w:val="00855951"/>
    <w:rsid w:val="00874319"/>
    <w:rsid w:val="008A5B29"/>
    <w:rsid w:val="008C11C4"/>
    <w:rsid w:val="008C7111"/>
    <w:rsid w:val="00925991"/>
    <w:rsid w:val="00933D29"/>
    <w:rsid w:val="00957E46"/>
    <w:rsid w:val="009A7CE9"/>
    <w:rsid w:val="009D06E8"/>
    <w:rsid w:val="009D1AE9"/>
    <w:rsid w:val="009F0265"/>
    <w:rsid w:val="00A46EC0"/>
    <w:rsid w:val="00A67437"/>
    <w:rsid w:val="00A75ECE"/>
    <w:rsid w:val="00AC132F"/>
    <w:rsid w:val="00AF3864"/>
    <w:rsid w:val="00B23C5E"/>
    <w:rsid w:val="00B60DD8"/>
    <w:rsid w:val="00B74848"/>
    <w:rsid w:val="00BB77E8"/>
    <w:rsid w:val="00BC6C4C"/>
    <w:rsid w:val="00C25BE9"/>
    <w:rsid w:val="00C378CC"/>
    <w:rsid w:val="00C8299D"/>
    <w:rsid w:val="00CC23F4"/>
    <w:rsid w:val="00CC4582"/>
    <w:rsid w:val="00CD5039"/>
    <w:rsid w:val="00D50EC8"/>
    <w:rsid w:val="00D774D2"/>
    <w:rsid w:val="00D83189"/>
    <w:rsid w:val="00D87CC5"/>
    <w:rsid w:val="00D9149A"/>
    <w:rsid w:val="00DA5636"/>
    <w:rsid w:val="00DB44B0"/>
    <w:rsid w:val="00DD129E"/>
    <w:rsid w:val="00DD1458"/>
    <w:rsid w:val="00E30698"/>
    <w:rsid w:val="00E33D51"/>
    <w:rsid w:val="00EC0F9F"/>
    <w:rsid w:val="00F143BB"/>
    <w:rsid w:val="00F34F56"/>
    <w:rsid w:val="00F45078"/>
    <w:rsid w:val="00F510C1"/>
    <w:rsid w:val="00F543C6"/>
    <w:rsid w:val="00F55418"/>
    <w:rsid w:val="00F772C3"/>
    <w:rsid w:val="00FD2B10"/>
    <w:rsid w:val="00FF1DDA"/>
    <w:rsid w:val="0A4F22E3"/>
    <w:rsid w:val="11B46DCE"/>
    <w:rsid w:val="18E90DC0"/>
    <w:rsid w:val="19D72B45"/>
    <w:rsid w:val="1F47217C"/>
    <w:rsid w:val="24FE440D"/>
    <w:rsid w:val="265C1B33"/>
    <w:rsid w:val="2CDC2737"/>
    <w:rsid w:val="330A600E"/>
    <w:rsid w:val="3481357C"/>
    <w:rsid w:val="35694AB7"/>
    <w:rsid w:val="37033F7D"/>
    <w:rsid w:val="40F905F4"/>
    <w:rsid w:val="414A3BFD"/>
    <w:rsid w:val="43E91A2D"/>
    <w:rsid w:val="47247AAC"/>
    <w:rsid w:val="497E2452"/>
    <w:rsid w:val="5E0D00C7"/>
    <w:rsid w:val="5EF53A55"/>
    <w:rsid w:val="61227EAA"/>
    <w:rsid w:val="628759A8"/>
    <w:rsid w:val="66D1232A"/>
    <w:rsid w:val="6AB0382C"/>
    <w:rsid w:val="7207671B"/>
    <w:rsid w:val="78894AE8"/>
    <w:rsid w:val="7A7B77D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link w:val="15"/>
    <w:unhideWhenUsed/>
    <w:qFormat/>
    <w:uiPriority w:val="99"/>
    <w:rPr>
      <w:rFonts w:ascii="宋体" w:hAnsi="Courier New" w:eastAsia="宋体" w:cs="Courier New"/>
      <w:szCs w:val="21"/>
    </w:rPr>
  </w:style>
  <w:style w:type="paragraph" w:styleId="4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HTML Preformatted"/>
    <w:basedOn w:val="1"/>
    <w:link w:val="17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  <w:szCs w:val="24"/>
    </w:rPr>
  </w:style>
  <w:style w:type="paragraph" w:styleId="8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0">
    <w:name w:val="Table Grid"/>
    <w:basedOn w:val="9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Hyperlink"/>
    <w:basedOn w:val="11"/>
    <w:semiHidden/>
    <w:unhideWhenUsed/>
    <w:qFormat/>
    <w:uiPriority w:val="99"/>
    <w:rPr>
      <w:color w:val="0000FF"/>
      <w:u w:val="single"/>
    </w:rPr>
  </w:style>
  <w:style w:type="character" w:customStyle="1" w:styleId="13">
    <w:name w:val="页眉 Char"/>
    <w:basedOn w:val="11"/>
    <w:link w:val="6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11"/>
    <w:link w:val="5"/>
    <w:semiHidden/>
    <w:qFormat/>
    <w:uiPriority w:val="99"/>
    <w:rPr>
      <w:sz w:val="18"/>
      <w:szCs w:val="18"/>
    </w:rPr>
  </w:style>
  <w:style w:type="character" w:customStyle="1" w:styleId="15">
    <w:name w:val="纯文本 Char"/>
    <w:basedOn w:val="11"/>
    <w:link w:val="3"/>
    <w:qFormat/>
    <w:uiPriority w:val="99"/>
    <w:rPr>
      <w:rFonts w:ascii="宋体" w:hAnsi="Courier New" w:eastAsia="宋体" w:cs="Courier New"/>
      <w:szCs w:val="21"/>
    </w:rPr>
  </w:style>
  <w:style w:type="character" w:customStyle="1" w:styleId="16">
    <w:name w:val="批注框文本 Char"/>
    <w:basedOn w:val="11"/>
    <w:link w:val="4"/>
    <w:semiHidden/>
    <w:qFormat/>
    <w:uiPriority w:val="99"/>
    <w:rPr>
      <w:sz w:val="18"/>
      <w:szCs w:val="18"/>
    </w:rPr>
  </w:style>
  <w:style w:type="character" w:customStyle="1" w:styleId="17">
    <w:name w:val="HTML 预设格式 Char"/>
    <w:basedOn w:val="11"/>
    <w:link w:val="7"/>
    <w:semiHidden/>
    <w:qFormat/>
    <w:uiPriority w:val="99"/>
    <w:rPr>
      <w:rFonts w:ascii="宋体" w:hAnsi="宋体" w:eastAsia="宋体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EB3B6EF-03BB-4348-A628-42D6EA35CD5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mycomputer</Company>
  <Pages>2</Pages>
  <Words>160</Words>
  <Characters>913</Characters>
  <Lines>7</Lines>
  <Paragraphs>2</Paragraphs>
  <TotalTime>0</TotalTime>
  <ScaleCrop>false</ScaleCrop>
  <LinksUpToDate>false</LinksUpToDate>
  <CharactersWithSpaces>1071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2014-11-12T06:35:00Z</dcterms:created>
  <dc:creator>jietongkeji</dc:creator>
  <cp:lastModifiedBy>珍惜 Maggie</cp:lastModifiedBy>
  <cp:lastPrinted>2015-05-27T07:50:00Z</cp:lastPrinted>
  <dcterms:modified xsi:type="dcterms:W3CDTF">2021-12-14T03:01:20Z</dcterms:modified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805A5D3F4F484ED5BBE138EA713F2F00</vt:lpwstr>
  </property>
</Properties>
</file>