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4"/>
        <w:widowControl/>
        <w:spacing w:before="1200" w:beforeAutospacing="0" w:after="750" w:afterAutospacing="0" w:line="390" w:lineRule="atLeast"/>
        <w:ind w:left="0" w:right="0"/>
        <w:jc w:val="center"/>
      </w:pPr>
      <w:bookmarkStart w:id="0" w:name="_GoBack"/>
      <w:r>
        <w:rPr>
          <w:rFonts w:ascii="宋体" w:hAnsi="宋体" w:eastAsia="宋体" w:cs="宋体"/>
          <w:color w:val="000000"/>
          <w:kern w:val="0"/>
          <w:sz w:val="27"/>
          <w:szCs w:val="27"/>
        </w:rPr>
        <w:fldChar w:fldCharType="begin"/>
      </w:r>
      <w:r>
        <w:rPr>
          <w:rFonts w:ascii="宋体" w:hAnsi="宋体" w:eastAsia="宋体" w:cs="宋体"/>
          <w:color w:val="000000"/>
          <w:kern w:val="0"/>
          <w:sz w:val="27"/>
          <w:szCs w:val="27"/>
        </w:rPr>
        <w:instrText xml:space="preserve">INCLUDEPICTURE \d "http://szjtkj.gz005.qebang.cn/up/image/201509/20150917131370287028.jpg" \* MERGEFORMATINET </w:instrText>
      </w:r>
      <w:r>
        <w:rPr>
          <w:rFonts w:ascii="宋体" w:hAnsi="宋体" w:eastAsia="宋体" w:cs="宋体"/>
          <w:color w:val="000000"/>
          <w:kern w:val="0"/>
          <w:sz w:val="27"/>
          <w:szCs w:val="27"/>
        </w:rPr>
        <w:fldChar w:fldCharType="separate"/>
      </w:r>
      <w:r>
        <w:rPr>
          <w:rFonts w:ascii="宋体" w:hAnsi="宋体" w:eastAsia="宋体" w:cs="宋体"/>
          <w:color w:val="000000"/>
          <w:kern w:val="0"/>
          <w:sz w:val="27"/>
          <w:szCs w:val="27"/>
          <w:lang w:val="en-US" w:eastAsia="zh-CN" w:bidi="ar-SA"/>
        </w:rPr>
        <w:pict>
          <v:shape id="图片 2" o:spid="_x0000_s1026" type="#_x0000_t75" style="height:385.5pt;width:166.5pt;rotation:0f;" o:ole="f" fillcolor="#FFFFFF" filled="f" o:preferrelative="t" stroked="f" coordorigin="0,0" coordsize="21600,21600">
            <v:fill on="f" color2="#FFFFFF" focus="0%"/>
            <v:imagedata gain="65536f" blacklevel="0f" gamma="0" o:title="IMG_256" r:id="rId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宋体" w:hAnsi="宋体" w:eastAsia="宋体" w:cs="宋体"/>
          <w:color w:val="000000"/>
          <w:kern w:val="0"/>
          <w:sz w:val="27"/>
          <w:szCs w:val="27"/>
        </w:rPr>
        <w:fldChar w:fldCharType="end"/>
      </w:r>
      <w:bookmarkEnd w:id="0"/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产品简介：</w:t>
      </w: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    本产品具有多协议兼容、读取速率快、防水型外观设计, 满足苛刻工作环境要求，全面支持符合ISO-18000-6C（EPC G2）、ISO-18000-6B电子标签；体积小、重量轻、便于安装。可稳定读取5m(与标签及环境相关)。</w:t>
      </w:r>
    </w:p>
    <w:p>
      <w:pPr>
        <w:widowControl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    </w:t>
      </w:r>
    </w:p>
    <w:p>
      <w:pPr>
        <w:widowControl/>
        <w:jc w:val="left"/>
        <w:rPr>
          <w:rFonts w:hint="eastAsia" w:ascii="宋体" w:hAnsi="宋体" w:cs="宋体"/>
          <w:color w:val="FF0000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应用场合：</w:t>
      </w:r>
    </w:p>
    <w:tbl>
      <w:tblPr>
        <w:tblStyle w:val="8"/>
        <w:tblW w:w="76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6" w:hRule="atLeast"/>
        </w:trPr>
        <w:tc>
          <w:tcPr>
            <w:tcW w:w="76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ind w:firstLine="420" w:firstLineChars="200"/>
              <w:jc w:val="left"/>
              <w:textAlignment w:val="top"/>
              <w:rPr>
                <w:rFonts w:ascii="Wingdings" w:hAnsi="Wingdings" w:cs="Wingdings"/>
                <w:color w:val="000000"/>
                <w:kern w:val="0"/>
                <w:szCs w:val="21"/>
              </w:rPr>
            </w:pPr>
            <w:r>
              <w:rPr>
                <w:rFonts w:ascii="Wingdings" w:hAnsi="Wingdings" w:cs="Wingdings"/>
                <w:color w:val="000000"/>
                <w:kern w:val="0"/>
                <w:szCs w:val="21"/>
              </w:rPr>
              <w:t>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运输车辆管理：对机动车辆和集装箱运输的监控与管理。</w:t>
            </w:r>
          </w:p>
          <w:p>
            <w:pPr>
              <w:widowControl/>
              <w:ind w:firstLine="420" w:firstLineChars="200"/>
              <w:jc w:val="left"/>
              <w:textAlignment w:val="top"/>
              <w:rPr>
                <w:rFonts w:ascii="Wingdings" w:hAnsi="Wingdings" w:cs="Wingdings"/>
                <w:color w:val="000000"/>
                <w:szCs w:val="21"/>
              </w:rPr>
            </w:pPr>
            <w:r>
              <w:rPr>
                <w:rFonts w:ascii="Wingdings" w:hAnsi="Wingdings" w:cs="Wingdings"/>
                <w:color w:val="000000"/>
                <w:kern w:val="0"/>
                <w:szCs w:val="21"/>
              </w:rPr>
              <w:t>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海关通关管理：海关通关、转关的物资管理。</w:t>
            </w:r>
          </w:p>
          <w:p>
            <w:pPr>
              <w:widowControl/>
              <w:ind w:firstLine="420" w:firstLineChars="200"/>
              <w:jc w:val="left"/>
              <w:textAlignment w:val="top"/>
              <w:rPr>
                <w:rFonts w:ascii="Wingdings" w:hAnsi="Wingdings" w:cs="Wingdings"/>
                <w:color w:val="000000"/>
                <w:szCs w:val="21"/>
              </w:rPr>
            </w:pPr>
            <w:r>
              <w:rPr>
                <w:rFonts w:ascii="Wingdings" w:hAnsi="Wingdings" w:cs="Wingdings"/>
                <w:color w:val="000000"/>
                <w:kern w:val="0"/>
                <w:szCs w:val="21"/>
              </w:rPr>
              <w:t>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仓储物流管理：商品流动与仓储管理以及邮件、包裹等的流动管理。</w:t>
            </w:r>
          </w:p>
          <w:p>
            <w:pPr>
              <w:widowControl/>
              <w:ind w:firstLine="420" w:firstLineChars="200"/>
              <w:jc w:val="left"/>
              <w:textAlignment w:val="top"/>
              <w:rPr>
                <w:rFonts w:ascii="Wingdings" w:hAnsi="Wingdings" w:cs="Wingdings"/>
                <w:color w:val="000000"/>
                <w:szCs w:val="21"/>
              </w:rPr>
            </w:pPr>
            <w:r>
              <w:rPr>
                <w:rFonts w:ascii="Wingdings" w:hAnsi="Wingdings" w:cs="Wingdings"/>
                <w:color w:val="000000"/>
                <w:kern w:val="0"/>
                <w:szCs w:val="21"/>
              </w:rPr>
              <w:t>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门 禁  管 理：包括车辆与人员的进出管理。</w:t>
            </w:r>
          </w:p>
          <w:p>
            <w:pPr>
              <w:widowControl/>
              <w:ind w:firstLine="420" w:firstLineChars="200"/>
              <w:jc w:val="left"/>
              <w:textAlignment w:val="top"/>
              <w:rPr>
                <w:rFonts w:ascii="Wingdings" w:hAnsi="Wingdings" w:cs="Wingdings"/>
                <w:color w:val="000000"/>
                <w:szCs w:val="21"/>
              </w:rPr>
            </w:pPr>
            <w:r>
              <w:rPr>
                <w:rFonts w:ascii="Wingdings" w:hAnsi="Wingdings" w:cs="Wingdings"/>
                <w:color w:val="000000"/>
                <w:kern w:val="0"/>
                <w:szCs w:val="21"/>
              </w:rPr>
              <w:t>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工艺生产流程：在整个生产过程中监控零部件。</w:t>
            </w:r>
          </w:p>
          <w:p>
            <w:pPr>
              <w:widowControl/>
              <w:ind w:firstLine="420" w:firstLineChars="200"/>
              <w:jc w:val="left"/>
              <w:textAlignment w:val="top"/>
              <w:rPr>
                <w:rFonts w:ascii="Wingdings" w:hAnsi="Wingdings" w:cs="Wingdings"/>
                <w:color w:val="000000"/>
                <w:szCs w:val="21"/>
              </w:rPr>
            </w:pPr>
            <w:r>
              <w:rPr>
                <w:rFonts w:ascii="Wingdings" w:hAnsi="Wingdings" w:cs="Wingdings"/>
                <w:color w:val="000000"/>
                <w:kern w:val="0"/>
                <w:szCs w:val="21"/>
              </w:rPr>
              <w:t>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设 备  管 理：监控设备的流动情况。</w:t>
            </w:r>
          </w:p>
        </w:tc>
      </w:tr>
    </w:tbl>
    <w:p>
      <w:pPr>
        <w:widowControl/>
        <w:jc w:val="left"/>
        <w:rPr>
          <w:rFonts w:hint="eastAsia" w:ascii="宋体" w:hAnsi="宋体" w:cs="宋体"/>
          <w:color w:val="FF0000"/>
          <w:kern w:val="0"/>
          <w:szCs w:val="21"/>
        </w:rPr>
      </w:pPr>
    </w:p>
    <w:p>
      <w:pPr>
        <w:widowControl/>
        <w:jc w:val="left"/>
        <w:rPr>
          <w:rFonts w:hint="eastAsia" w:ascii="宋体" w:hAnsi="宋体" w:cs="宋体"/>
          <w:color w:val="FF0000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产品参数：</w:t>
      </w:r>
    </w:p>
    <w:tbl>
      <w:tblPr>
        <w:tblStyle w:val="8"/>
        <w:tblW w:w="87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10"/>
        <w:gridCol w:w="61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760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9D9D9"/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b w:val="0"/>
                <w:bCs/>
                <w:color w:val="0000FF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FF"/>
                <w:kern w:val="0"/>
                <w:szCs w:val="21"/>
              </w:rPr>
              <w:t>型号说明：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61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JT-8280C</w:t>
            </w:r>
          </w:p>
        </w:tc>
        <w:tc>
          <w:tcPr>
            <w:tcW w:w="615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232、RS485、韦根通讯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760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9D9D9"/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b w:val="0"/>
                <w:bCs/>
                <w:color w:val="0000FF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FF"/>
                <w:kern w:val="0"/>
                <w:szCs w:val="21"/>
              </w:rPr>
              <w:t>性能参数：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61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工作频率</w:t>
            </w:r>
          </w:p>
        </w:tc>
        <w:tc>
          <w:tcPr>
            <w:tcW w:w="615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szCs w:val="21"/>
              </w:rPr>
            </w:pPr>
            <w:r>
              <w:rPr>
                <w:rStyle w:val="12"/>
                <w:color w:val="auto"/>
              </w:rPr>
              <w:t>902</w:t>
            </w:r>
            <w:r>
              <w:rPr>
                <w:rStyle w:val="11"/>
                <w:rFonts w:hint="default"/>
              </w:rPr>
              <w:t>～</w:t>
            </w:r>
            <w:r>
              <w:rPr>
                <w:rStyle w:val="12"/>
                <w:color w:val="auto"/>
              </w:rPr>
              <w:t xml:space="preserve">928 </w:t>
            </w:r>
            <w:r>
              <w:rPr>
                <w:rStyle w:val="12"/>
                <w:rFonts w:hint="eastAsia"/>
                <w:color w:val="auto"/>
              </w:rPr>
              <w:t>MHZ</w:t>
            </w:r>
            <w:r>
              <w:rPr>
                <w:rStyle w:val="11"/>
                <w:rFonts w:hint="default"/>
              </w:rPr>
              <w:t xml:space="preserve"> 865～868MHZ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61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支持协议</w:t>
            </w:r>
          </w:p>
        </w:tc>
        <w:tc>
          <w:tcPr>
            <w:tcW w:w="615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szCs w:val="21"/>
              </w:rPr>
            </w:pPr>
            <w:r>
              <w:rPr>
                <w:rStyle w:val="12"/>
                <w:color w:val="auto"/>
              </w:rPr>
              <w:t>ISO18000-6C</w:t>
            </w:r>
            <w:r>
              <w:rPr>
                <w:rStyle w:val="12"/>
                <w:rFonts w:hint="eastAsia"/>
                <w:color w:val="auto"/>
              </w:rPr>
              <w:t>或</w:t>
            </w:r>
            <w:r>
              <w:rPr>
                <w:rStyle w:val="12"/>
                <w:color w:val="auto"/>
              </w:rPr>
              <w:t>ISO18000-6</w:t>
            </w:r>
            <w:r>
              <w:rPr>
                <w:rStyle w:val="12"/>
                <w:rFonts w:hint="eastAsia"/>
                <w:color w:val="auto"/>
              </w:rPr>
              <w:t>B</w:t>
            </w:r>
            <w:r>
              <w:rPr>
                <w:rStyle w:val="11"/>
                <w:rFonts w:hint="default"/>
              </w:rPr>
              <w:t>（</w:t>
            </w:r>
            <w:r>
              <w:rPr>
                <w:rStyle w:val="12"/>
                <w:color w:val="auto"/>
              </w:rPr>
              <w:t>EPC C1 GEN2</w:t>
            </w:r>
            <w:r>
              <w:rPr>
                <w:rStyle w:val="11"/>
                <w:rFonts w:hint="default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61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射频功率</w:t>
            </w:r>
          </w:p>
        </w:tc>
        <w:tc>
          <w:tcPr>
            <w:tcW w:w="615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szCs w:val="21"/>
              </w:rPr>
            </w:pPr>
            <w:r>
              <w:rPr>
                <w:rStyle w:val="12"/>
                <w:color w:val="auto"/>
              </w:rPr>
              <w:t>0dBm</w:t>
            </w:r>
            <w:r>
              <w:rPr>
                <w:rStyle w:val="11"/>
                <w:rFonts w:hint="default"/>
              </w:rPr>
              <w:t>～</w:t>
            </w:r>
            <w:r>
              <w:rPr>
                <w:rStyle w:val="12"/>
                <w:color w:val="auto"/>
              </w:rPr>
              <w:t>30dBm(</w:t>
            </w:r>
            <w:r>
              <w:rPr>
                <w:rStyle w:val="11"/>
                <w:rFonts w:hint="default"/>
              </w:rPr>
              <w:t>软件可调</w:t>
            </w:r>
            <w:r>
              <w:rPr>
                <w:rStyle w:val="12"/>
                <w:color w:val="auto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61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应用软件</w:t>
            </w:r>
          </w:p>
        </w:tc>
        <w:tc>
          <w:tcPr>
            <w:tcW w:w="615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提供</w:t>
            </w:r>
            <w:r>
              <w:rPr>
                <w:rFonts w:hint="eastAsia" w:ascii="宋体" w:hAnsi="宋体" w:cs="宋体"/>
                <w:kern w:val="0"/>
                <w:szCs w:val="21"/>
              </w:rPr>
              <w:t>DEMO软件及C#</w:t>
            </w:r>
            <w:r>
              <w:rPr>
                <w:rFonts w:ascii="宋体" w:hAnsi="宋体" w:cs="宋体"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kern w:val="0"/>
                <w:szCs w:val="21"/>
              </w:rPr>
              <w:t>VC</w:t>
            </w:r>
            <w:r>
              <w:rPr>
                <w:rFonts w:ascii="宋体" w:hAnsi="宋体" w:cs="宋体"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kern w:val="0"/>
                <w:szCs w:val="21"/>
              </w:rPr>
              <w:t>VB、Java、DELPHI</w:t>
            </w:r>
            <w:r>
              <w:rPr>
                <w:rFonts w:ascii="宋体" w:hAnsi="宋体" w:cs="宋体"/>
                <w:kern w:val="0"/>
                <w:szCs w:val="21"/>
              </w:rPr>
              <w:t>开发例程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61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加密功能</w:t>
            </w:r>
          </w:p>
        </w:tc>
        <w:tc>
          <w:tcPr>
            <w:tcW w:w="615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可直接加密，防复制，安全性更高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61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读取距离</w:t>
            </w:r>
          </w:p>
        </w:tc>
        <w:tc>
          <w:tcPr>
            <w:tcW w:w="615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稳定读取</w:t>
            </w:r>
            <w:r>
              <w:rPr>
                <w:rFonts w:hint="eastAsia" w:ascii="宋体" w:hAnsi="宋体" w:cs="宋体"/>
                <w:kern w:val="0"/>
                <w:szCs w:val="21"/>
              </w:rPr>
              <w:t>5M(</w:t>
            </w:r>
            <w:r>
              <w:rPr>
                <w:rFonts w:ascii="宋体" w:hAnsi="宋体" w:cs="宋体"/>
                <w:kern w:val="0"/>
                <w:szCs w:val="21"/>
              </w:rPr>
              <w:t>与标签及环境相关</w:t>
            </w:r>
            <w:r>
              <w:rPr>
                <w:rFonts w:hint="eastAsia" w:ascii="宋体" w:hAnsi="宋体" w:cs="宋体"/>
                <w:kern w:val="0"/>
                <w:szCs w:val="21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61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工业防雷</w:t>
            </w:r>
          </w:p>
        </w:tc>
        <w:tc>
          <w:tcPr>
            <w:tcW w:w="615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Style w:val="11"/>
                <w:rFonts w:hint="default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6000V</w:t>
            </w:r>
            <w:r>
              <w:rPr>
                <w:rFonts w:hint="eastAsia" w:ascii="Calibri" w:hAnsi="Calibri" w:cs="Calibri"/>
                <w:color w:val="000000"/>
                <w:kern w:val="0"/>
                <w:szCs w:val="21"/>
              </w:rPr>
              <w:t>工业级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高压防雷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61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低温保护</w:t>
            </w:r>
          </w:p>
        </w:tc>
        <w:tc>
          <w:tcPr>
            <w:tcW w:w="615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Style w:val="11"/>
                <w:rFonts w:hint="default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东北、西北等极寒地区，加低温处理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61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调频方式</w:t>
            </w:r>
          </w:p>
        </w:tc>
        <w:tc>
          <w:tcPr>
            <w:tcW w:w="615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Style w:val="11"/>
                <w:rFonts w:hint="default"/>
              </w:rPr>
            </w:pPr>
            <w:r>
              <w:rPr>
                <w:rStyle w:val="11"/>
                <w:rFonts w:hint="default"/>
              </w:rPr>
              <w:t>广谱跳频或定频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61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输入输出接口</w:t>
            </w:r>
          </w:p>
        </w:tc>
        <w:tc>
          <w:tcPr>
            <w:tcW w:w="615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szCs w:val="21"/>
              </w:rPr>
            </w:pPr>
            <w:r>
              <w:rPr>
                <w:rStyle w:val="11"/>
                <w:rFonts w:hint="default"/>
              </w:rPr>
              <w:t>2路继电器输出和1路触发输入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61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天线增益</w:t>
            </w:r>
          </w:p>
        </w:tc>
        <w:tc>
          <w:tcPr>
            <w:tcW w:w="615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Style w:val="11"/>
                <w:rFonts w:hint="default"/>
              </w:rPr>
            </w:pPr>
            <w:r>
              <w:rPr>
                <w:rStyle w:val="11"/>
                <w:rFonts w:hint="default"/>
              </w:rPr>
              <w:t>8DBI圆极化天线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61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工作方式</w:t>
            </w:r>
          </w:p>
        </w:tc>
        <w:tc>
          <w:tcPr>
            <w:tcW w:w="615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Style w:val="11"/>
                <w:rFonts w:hint="default"/>
              </w:rPr>
            </w:pPr>
            <w:r>
              <w:rPr>
                <w:rStyle w:val="11"/>
                <w:rFonts w:hint="default"/>
              </w:rPr>
              <w:t>蜂鸣器和LED灯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61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适 配 器</w:t>
            </w:r>
          </w:p>
        </w:tc>
        <w:tc>
          <w:tcPr>
            <w:tcW w:w="615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12V/3A</w:t>
            </w:r>
            <w:r>
              <w:rPr>
                <w:rFonts w:hint="eastAsia" w:ascii="Calibri" w:hAnsi="Calibri" w:cs="Calibri"/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760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9D9D9"/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b w:val="0"/>
                <w:bCs/>
                <w:color w:val="0000FF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FF"/>
                <w:kern w:val="0"/>
                <w:szCs w:val="21"/>
              </w:rPr>
              <w:t>物理参数：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61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产品尺寸</w:t>
            </w:r>
          </w:p>
        </w:tc>
        <w:tc>
          <w:tcPr>
            <w:tcW w:w="615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220220x50mm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61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重    量</w:t>
            </w:r>
          </w:p>
        </w:tc>
        <w:tc>
          <w:tcPr>
            <w:tcW w:w="615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3KG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61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材    料</w:t>
            </w:r>
          </w:p>
        </w:tc>
        <w:tc>
          <w:tcPr>
            <w:tcW w:w="615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ABS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61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工作温度</w:t>
            </w:r>
          </w:p>
        </w:tc>
        <w:tc>
          <w:tcPr>
            <w:tcW w:w="615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-40℃~+65℃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61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存储温度</w:t>
            </w:r>
          </w:p>
        </w:tc>
        <w:tc>
          <w:tcPr>
            <w:tcW w:w="615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-45℃~+95℃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55C16"/>
    <w:rsid w:val="00AB4B79"/>
    <w:rsid w:val="00E55C16"/>
    <w:rsid w:val="00ED0752"/>
    <w:rsid w:val="07611132"/>
    <w:rsid w:val="5AF35A3A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Style w:val="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paragraph" w:styleId="4">
    <w:name w:val="Normal (Web)"/>
    <w:basedOn w:val="1"/>
    <w:unhideWhenUsed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-SA"/>
    </w:rPr>
  </w:style>
  <w:style w:type="character" w:styleId="6">
    <w:name w:val="FollowedHyperlink"/>
    <w:basedOn w:val="5"/>
    <w:unhideWhenUsed/>
    <w:uiPriority w:val="0"/>
    <w:rPr>
      <w:color w:val="333333"/>
      <w:u w:val="none"/>
    </w:rPr>
  </w:style>
  <w:style w:type="character" w:styleId="7">
    <w:name w:val="Hyperlink"/>
    <w:basedOn w:val="5"/>
    <w:unhideWhenUsed/>
    <w:uiPriority w:val="0"/>
    <w:rPr>
      <w:color w:val="333333"/>
      <w:u w:val="none"/>
    </w:rPr>
  </w:style>
  <w:style w:type="character" w:customStyle="1" w:styleId="9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semiHidden/>
    <w:uiPriority w:val="99"/>
    <w:rPr>
      <w:sz w:val="18"/>
      <w:szCs w:val="18"/>
    </w:rPr>
  </w:style>
  <w:style w:type="character" w:customStyle="1" w:styleId="11">
    <w:name w:val="font31"/>
    <w:basedOn w:val="5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2">
    <w:name w:val="font21"/>
    <w:basedOn w:val="5"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13">
    <w:name w:val="news-list-text"/>
    <w:basedOn w:val="5"/>
    <w:uiPriority w:val="0"/>
    <w:rPr/>
  </w:style>
  <w:style w:type="character" w:customStyle="1" w:styleId="14">
    <w:name w:val="news-list-text1"/>
    <w:basedOn w:val="5"/>
    <w:uiPriority w:val="0"/>
    <w:rPr>
      <w:color w:val="0669C7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676</Characters>
  <Lines>5</Lines>
  <Paragraphs>1</Paragraphs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2015-07-24T05:46:00Z</dcterms:created>
  <dc:creator>jietongkeji</dc:creator>
  <cp:lastModifiedBy>Administrator</cp:lastModifiedBy>
  <dcterms:modified xsi:type="dcterms:W3CDTF">2015-10-10T06:18:08Z</dcterms:modified>
  <dc:title>产品简介：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